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A1" w:rsidRPr="00C171EB" w:rsidRDefault="00467BA1" w:rsidP="00467BA1">
      <w:pPr>
        <w:pStyle w:val="Web"/>
        <w:shd w:val="clear" w:color="auto" w:fill="FFFFFF"/>
        <w:spacing w:before="192" w:beforeAutospacing="0" w:after="192" w:afterAutospacing="0"/>
        <w:jc w:val="both"/>
        <w:rPr>
          <w:rFonts w:asciiTheme="minorHAnsi" w:hAnsiTheme="minorHAnsi" w:cstheme="minorHAnsi"/>
          <w:color w:val="FF0000"/>
          <w:spacing w:val="11"/>
          <w:sz w:val="28"/>
          <w:szCs w:val="28"/>
          <w:u w:val="thick"/>
        </w:rPr>
      </w:pPr>
      <w:r w:rsidRPr="00B12F33">
        <w:rPr>
          <w:rStyle w:val="a3"/>
          <w:rFonts w:asciiTheme="minorHAnsi" w:hAnsiTheme="minorHAnsi" w:cstheme="minorHAnsi"/>
          <w:color w:val="1D1D1D"/>
          <w:spacing w:val="11"/>
          <w:sz w:val="28"/>
          <w:szCs w:val="28"/>
          <w:u w:val="single"/>
        </w:rPr>
        <w:t xml:space="preserve">Ι) </w:t>
      </w:r>
      <w:r w:rsidRPr="00467BA1">
        <w:rPr>
          <w:rStyle w:val="a3"/>
          <w:rFonts w:asciiTheme="minorHAnsi" w:hAnsiTheme="minorHAnsi" w:cstheme="minorHAnsi"/>
          <w:color w:val="FF0000"/>
          <w:spacing w:val="11"/>
          <w:sz w:val="32"/>
          <w:szCs w:val="32"/>
          <w:u w:val="thick"/>
        </w:rPr>
        <w:t>Σύνταξη αναπηρίας από κοινή νόσο</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i/>
          <w:iCs/>
          <w:color w:val="1D1D1D"/>
          <w:spacing w:val="11"/>
          <w:sz w:val="28"/>
          <w:szCs w:val="28"/>
          <w:u w:val="single"/>
        </w:rPr>
        <w:t>Προϋποθέσεις :</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α. </w:t>
      </w:r>
      <w:r w:rsidRPr="00B12F33">
        <w:rPr>
          <w:rFonts w:asciiTheme="minorHAnsi" w:hAnsiTheme="minorHAnsi" w:cstheme="minorHAnsi"/>
          <w:color w:val="1D1D1D"/>
          <w:spacing w:val="11"/>
          <w:sz w:val="28"/>
          <w:szCs w:val="28"/>
        </w:rPr>
        <w:t>Ποσοστό αναπηρίας τουλάχιστον 50%.</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Fonts w:asciiTheme="minorHAnsi" w:hAnsiTheme="minorHAnsi" w:cstheme="minorHAnsi"/>
          <w:color w:val="1D1D1D"/>
          <w:spacing w:val="11"/>
          <w:sz w:val="28"/>
          <w:szCs w:val="28"/>
        </w:rPr>
        <w:t>Εάν η αναπηρία </w:t>
      </w:r>
      <w:r w:rsidRPr="00B12F33">
        <w:rPr>
          <w:rStyle w:val="a3"/>
          <w:rFonts w:asciiTheme="minorHAnsi" w:hAnsiTheme="minorHAnsi" w:cstheme="minorHAnsi"/>
          <w:color w:val="1D1D1D"/>
          <w:spacing w:val="11"/>
          <w:sz w:val="28"/>
          <w:szCs w:val="28"/>
        </w:rPr>
        <w:t>προϋπήρχε </w:t>
      </w:r>
      <w:r w:rsidRPr="00B12F33">
        <w:rPr>
          <w:rFonts w:asciiTheme="minorHAnsi" w:hAnsiTheme="minorHAnsi" w:cstheme="minorHAnsi"/>
          <w:color w:val="1D1D1D"/>
          <w:spacing w:val="11"/>
          <w:sz w:val="28"/>
          <w:szCs w:val="28"/>
        </w:rPr>
        <w:t>της υπαγωγής στην ασφάλιση (προϋπάρχουσα αναπηρία) απαιτείται να υφίσταται μετά την ασφάλιση επιδείνωση ή νέα πάθηση σε ποσοστό 40% της κατά περίπτωση αναπηρίας, με ελάχιστο  ποσοστό επιδείνωσης ή νέας πάθησης τουλάχιστον 20%.</w:t>
      </w:r>
    </w:p>
    <w:p w:rsidR="00467BA1" w:rsidRPr="00C171EB" w:rsidRDefault="00467BA1" w:rsidP="00467BA1">
      <w:pPr>
        <w:pStyle w:val="Web"/>
        <w:shd w:val="clear" w:color="auto" w:fill="FFFFFF"/>
        <w:spacing w:before="192" w:beforeAutospacing="0" w:after="192" w:afterAutospacing="0"/>
        <w:jc w:val="both"/>
        <w:rPr>
          <w:rStyle w:val="a3"/>
          <w:rFonts w:asciiTheme="minorHAnsi" w:hAnsiTheme="minorHAnsi" w:cstheme="minorHAnsi"/>
          <w:b w:val="0"/>
          <w:bCs w:val="0"/>
          <w:color w:val="1D1D1D"/>
          <w:spacing w:val="11"/>
          <w:sz w:val="28"/>
          <w:szCs w:val="28"/>
        </w:rPr>
      </w:pPr>
      <w:r w:rsidRPr="00B12F33">
        <w:rPr>
          <w:rStyle w:val="a3"/>
          <w:rFonts w:asciiTheme="minorHAnsi" w:hAnsiTheme="minorHAnsi" w:cstheme="minorHAnsi"/>
          <w:color w:val="1D1D1D"/>
          <w:spacing w:val="11"/>
          <w:sz w:val="28"/>
          <w:szCs w:val="28"/>
        </w:rPr>
        <w:t>β. </w:t>
      </w:r>
      <w:r w:rsidRPr="00B12F33">
        <w:rPr>
          <w:rFonts w:asciiTheme="minorHAnsi" w:hAnsiTheme="minorHAnsi" w:cstheme="minorHAnsi"/>
          <w:color w:val="1D1D1D"/>
          <w:spacing w:val="11"/>
          <w:sz w:val="28"/>
          <w:szCs w:val="28"/>
        </w:rPr>
        <w:t>Διακοπή της ασφαλιστέας απασχόλησης.</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γ. </w:t>
      </w:r>
      <w:r w:rsidRPr="00B12F33">
        <w:rPr>
          <w:rFonts w:asciiTheme="minorHAnsi" w:hAnsiTheme="minorHAnsi" w:cstheme="minorHAnsi"/>
          <w:color w:val="1D1D1D"/>
          <w:spacing w:val="11"/>
          <w:sz w:val="28"/>
          <w:szCs w:val="28"/>
        </w:rPr>
        <w:t>Ελάχιστος χρόνος ασφάλισης i) 15 έτη (ή 4.500 ημέρες) ή ii) 5 έτη (ή 1.500 ημέρες) εκ των οποίων τουλάχιστον 2 έτη (ή 600 ημέρες) εντός της 5ετίας πριν την ημερομηνία ή το έτος έναρξης της αναπηρίας ή iii) 1 έτος (ή 300 ημέρες) χωρίς να έχει συμπληρωθεί το 21ο έτος ηλικίας, οι οποίες 300 ημέρες αυξάνονται προοδευτικά σε 1.500 με την προσθήκη 120 ημερών για κάθε έτος ηλικίας πέραν του21ουμέχρι τη συμπλήρωση του 31ου,</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u w:val="single"/>
        </w:rPr>
        <w:t>ΙΙ) Αναπηρία από εργατικό ατύχημα ή επαγγελματική ασθένεια:</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4"/>
          <w:rFonts w:asciiTheme="minorHAnsi" w:hAnsiTheme="minorHAnsi" w:cstheme="minorHAnsi"/>
          <w:b/>
          <w:bCs/>
          <w:color w:val="1D1D1D"/>
          <w:spacing w:val="11"/>
          <w:sz w:val="28"/>
          <w:szCs w:val="28"/>
        </w:rPr>
        <w:t>Προϋποθέσεις :</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α. </w:t>
      </w:r>
      <w:r w:rsidRPr="00B12F33">
        <w:rPr>
          <w:rFonts w:asciiTheme="minorHAnsi" w:hAnsiTheme="minorHAnsi" w:cstheme="minorHAnsi"/>
          <w:color w:val="1D1D1D"/>
          <w:spacing w:val="11"/>
          <w:sz w:val="28"/>
          <w:szCs w:val="28"/>
        </w:rPr>
        <w:t>Ποσοστό αναπηρίας τουλάχιστον 50%.</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β. </w:t>
      </w:r>
      <w:r w:rsidRPr="00B12F33">
        <w:rPr>
          <w:rFonts w:asciiTheme="minorHAnsi" w:hAnsiTheme="minorHAnsi" w:cstheme="minorHAnsi"/>
          <w:color w:val="1D1D1D"/>
          <w:spacing w:val="11"/>
          <w:sz w:val="28"/>
          <w:szCs w:val="28"/>
        </w:rPr>
        <w:t>Διακοπή της ασφαλιστέας εργασίας.</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γ. </w:t>
      </w:r>
      <w:r w:rsidRPr="00B12F33">
        <w:rPr>
          <w:rFonts w:asciiTheme="minorHAnsi" w:hAnsiTheme="minorHAnsi" w:cstheme="minorHAnsi"/>
          <w:color w:val="1D1D1D"/>
          <w:spacing w:val="11"/>
          <w:sz w:val="28"/>
          <w:szCs w:val="28"/>
        </w:rPr>
        <w:t>Ελάχιστος χρόνος ασφάλισης μια ημέρα.</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Fonts w:asciiTheme="minorHAnsi" w:hAnsiTheme="minorHAnsi" w:cstheme="minorHAnsi"/>
          <w:color w:val="1D1D1D"/>
          <w:spacing w:val="11"/>
          <w:sz w:val="28"/>
          <w:szCs w:val="28"/>
        </w:rPr>
        <w:t>Κατώτατο ποσό σύνταξης : 2πλασιο της εθνικής σύνταξης για 20 έτη ασφάλισης.</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u w:val="single"/>
        </w:rPr>
        <w:t>ΙΙΙ) Αναπηρία από ατύχημα εκτός εργασίας</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4"/>
          <w:rFonts w:asciiTheme="minorHAnsi" w:hAnsiTheme="minorHAnsi" w:cstheme="minorHAnsi"/>
          <w:b/>
          <w:bCs/>
          <w:color w:val="1D1D1D"/>
          <w:spacing w:val="11"/>
          <w:sz w:val="28"/>
          <w:szCs w:val="28"/>
        </w:rPr>
        <w:t>Προϋποθέσεις :</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α. </w:t>
      </w:r>
      <w:r w:rsidRPr="00B12F33">
        <w:rPr>
          <w:rFonts w:asciiTheme="minorHAnsi" w:hAnsiTheme="minorHAnsi" w:cstheme="minorHAnsi"/>
          <w:color w:val="1D1D1D"/>
          <w:spacing w:val="11"/>
          <w:sz w:val="28"/>
          <w:szCs w:val="28"/>
        </w:rPr>
        <w:t>Ποσοστό αναπηρίας τουλάχιστον 50%.</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β. </w:t>
      </w:r>
      <w:r w:rsidRPr="00B12F33">
        <w:rPr>
          <w:rFonts w:asciiTheme="minorHAnsi" w:hAnsiTheme="minorHAnsi" w:cstheme="minorHAnsi"/>
          <w:color w:val="1D1D1D"/>
          <w:spacing w:val="11"/>
          <w:sz w:val="28"/>
          <w:szCs w:val="28"/>
        </w:rPr>
        <w:t>Διακοπή της ασφαλιστέας εργασίας.</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γ. </w:t>
      </w:r>
      <w:r w:rsidRPr="00B12F33">
        <w:rPr>
          <w:rFonts w:asciiTheme="minorHAnsi" w:hAnsiTheme="minorHAnsi" w:cstheme="minorHAnsi"/>
          <w:color w:val="1D1D1D"/>
          <w:spacing w:val="11"/>
          <w:sz w:val="28"/>
          <w:szCs w:val="28"/>
        </w:rPr>
        <w:t>Το ½ του χρόνου ασφάλισης από αυτόν που απαιτείται για τη σύνταξη λόγω αναπηρίας από κοινή νόσο.</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Σύνταξη ανικανότητας ασφαλισμένων δημοσίου (</w:t>
      </w:r>
      <w:hyperlink r:id="rId4" w:tgtFrame="_blank" w:history="1">
        <w:r w:rsidRPr="00B12F33">
          <w:rPr>
            <w:rStyle w:val="a3"/>
            <w:rFonts w:asciiTheme="minorHAnsi" w:hAnsiTheme="minorHAnsi" w:cstheme="minorHAnsi"/>
            <w:color w:val="1D59BF"/>
            <w:spacing w:val="11"/>
            <w:sz w:val="28"/>
            <w:szCs w:val="28"/>
          </w:rPr>
          <w:t>π.δ.169/2007</w:t>
        </w:r>
      </w:hyperlink>
      <w:r w:rsidRPr="00B12F33">
        <w:rPr>
          <w:rStyle w:val="a3"/>
          <w:rFonts w:asciiTheme="minorHAnsi" w:hAnsiTheme="minorHAnsi" w:cstheme="minorHAnsi"/>
          <w:color w:val="1D1D1D"/>
          <w:spacing w:val="11"/>
          <w:sz w:val="28"/>
          <w:szCs w:val="28"/>
        </w:rPr>
        <w:t>)</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lastRenderedPageBreak/>
        <w:t>Προκειμένου</w:t>
      </w:r>
      <w:r w:rsidRPr="00B12F33">
        <w:rPr>
          <w:rFonts w:asciiTheme="minorHAnsi" w:hAnsiTheme="minorHAnsi" w:cstheme="minorHAnsi"/>
          <w:color w:val="1D1D1D"/>
          <w:spacing w:val="11"/>
          <w:sz w:val="28"/>
          <w:szCs w:val="28"/>
        </w:rPr>
        <w:t> </w:t>
      </w:r>
      <w:r w:rsidRPr="00B12F33">
        <w:rPr>
          <w:rStyle w:val="a3"/>
          <w:rFonts w:asciiTheme="minorHAnsi" w:hAnsiTheme="minorHAnsi" w:cstheme="minorHAnsi"/>
          <w:color w:val="1D1D1D"/>
          <w:spacing w:val="11"/>
          <w:sz w:val="28"/>
          <w:szCs w:val="28"/>
        </w:rPr>
        <w:t>για όσους καλύπτονται από τον ΚΠΣΣ απαιτείται απόλυση για σωματική ή διανοητική ανικανότητα η οποία δεν οφείλεται στην Υπηρεσία </w:t>
      </w:r>
      <w:r w:rsidRPr="00B12F33">
        <w:rPr>
          <w:rFonts w:asciiTheme="minorHAnsi" w:hAnsiTheme="minorHAnsi" w:cstheme="minorHAnsi"/>
          <w:color w:val="1D1D1D"/>
          <w:spacing w:val="11"/>
          <w:sz w:val="28"/>
          <w:szCs w:val="28"/>
        </w:rPr>
        <w:t>και να έχει συμπληρωθεί πενταετής τουλάχιστον πραγματική συντάξιμη υπηρεσία.</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Σύνταξη γήρατος λόγω ειδικών παθήσεων Ιδιωτικού και Δημόσιου Τομέα</w:t>
      </w:r>
    </w:p>
    <w:p w:rsidR="00467BA1" w:rsidRPr="00C171EB"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Fonts w:asciiTheme="minorHAnsi" w:hAnsiTheme="minorHAnsi" w:cstheme="minorHAnsi"/>
          <w:color w:val="1D1D1D"/>
          <w:spacing w:val="11"/>
          <w:sz w:val="28"/>
          <w:szCs w:val="28"/>
        </w:rPr>
        <w:t>(</w:t>
      </w:r>
      <w:proofErr w:type="spellStart"/>
      <w:r w:rsidRPr="00B12F33">
        <w:rPr>
          <w:rFonts w:asciiTheme="minorHAnsi" w:hAnsiTheme="minorHAnsi" w:cstheme="minorHAnsi"/>
          <w:color w:val="1D1D1D"/>
          <w:spacing w:val="11"/>
          <w:sz w:val="28"/>
          <w:szCs w:val="28"/>
        </w:rPr>
        <w:t>αρ.1</w:t>
      </w:r>
      <w:proofErr w:type="spellEnd"/>
      <w:r w:rsidRPr="00B12F33">
        <w:rPr>
          <w:rFonts w:asciiTheme="minorHAnsi" w:hAnsiTheme="minorHAnsi" w:cstheme="minorHAnsi"/>
          <w:color w:val="1D1D1D"/>
          <w:spacing w:val="11"/>
          <w:sz w:val="28"/>
          <w:szCs w:val="28"/>
        </w:rPr>
        <w:t> </w:t>
      </w:r>
      <w:hyperlink r:id="rId5" w:history="1">
        <w:r w:rsidRPr="00B12F33">
          <w:rPr>
            <w:rStyle w:val="-"/>
            <w:rFonts w:asciiTheme="minorHAnsi" w:hAnsiTheme="minorHAnsi" w:cstheme="minorHAnsi"/>
            <w:color w:val="1D59BF"/>
            <w:spacing w:val="11"/>
            <w:sz w:val="28"/>
            <w:szCs w:val="28"/>
          </w:rPr>
          <w:t>ν.612/1977</w:t>
        </w:r>
      </w:hyperlink>
      <w:r w:rsidRPr="00B12F33">
        <w:rPr>
          <w:rFonts w:asciiTheme="minorHAnsi" w:hAnsiTheme="minorHAnsi" w:cstheme="minorHAnsi"/>
          <w:color w:val="1D1D1D"/>
          <w:spacing w:val="11"/>
          <w:sz w:val="28"/>
          <w:szCs w:val="28"/>
        </w:rPr>
        <w:t> και διατάξεις που παραπέμπουν σε αυτόν, εδάφιο τρίτο περ.α΄παρ.1 άρθ. 1 και 26 του </w:t>
      </w:r>
      <w:hyperlink r:id="rId6" w:history="1">
        <w:r w:rsidRPr="00B12F33">
          <w:rPr>
            <w:rStyle w:val="-"/>
            <w:rFonts w:asciiTheme="minorHAnsi" w:hAnsiTheme="minorHAnsi" w:cstheme="minorHAnsi"/>
            <w:color w:val="1D59BF"/>
            <w:spacing w:val="11"/>
            <w:sz w:val="28"/>
            <w:szCs w:val="28"/>
          </w:rPr>
          <w:t>π.δ.169/2007</w:t>
        </w:r>
      </w:hyperlink>
      <w:r w:rsidRPr="00B12F33">
        <w:rPr>
          <w:rFonts w:asciiTheme="minorHAnsi" w:hAnsiTheme="minorHAnsi" w:cstheme="minorHAnsi"/>
          <w:color w:val="1D1D1D"/>
          <w:spacing w:val="11"/>
          <w:sz w:val="28"/>
          <w:szCs w:val="28"/>
        </w:rPr>
        <w:t>) με τη συμπλήρωση 15 ετών ή 4.050 ημερών ( επί μισθωτών ιδιωτικού τομέα ) . Ποσό κύριας σύνταξης που αντιστοιχεί σε 35 έτη ή 10.500 ημέρες ασφάλισης.</w:t>
      </w:r>
    </w:p>
    <w:p w:rsidR="00467BA1" w:rsidRPr="00C171EB" w:rsidRDefault="00467BA1" w:rsidP="00467BA1">
      <w:pPr>
        <w:pStyle w:val="Web"/>
        <w:shd w:val="clear" w:color="auto" w:fill="FFFFFF"/>
        <w:spacing w:before="192" w:beforeAutospacing="0" w:after="192" w:afterAutospacing="0"/>
        <w:jc w:val="both"/>
        <w:rPr>
          <w:rStyle w:val="a3"/>
          <w:rFonts w:asciiTheme="minorHAnsi" w:hAnsiTheme="minorHAnsi" w:cstheme="minorHAnsi"/>
          <w:b w:val="0"/>
          <w:bCs w:val="0"/>
          <w:color w:val="1D1D1D"/>
          <w:spacing w:val="11"/>
          <w:sz w:val="28"/>
          <w:szCs w:val="28"/>
        </w:rPr>
      </w:pP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Σύνταξη γήρατος γονέων , αδελφών και συζύγων αναπήρων ιδιωτικού τομέα (άρθρο 37 </w:t>
      </w:r>
      <w:hyperlink r:id="rId7" w:tgtFrame="_blank" w:history="1">
        <w:r w:rsidRPr="00B12F33">
          <w:rPr>
            <w:rStyle w:val="-"/>
            <w:rFonts w:asciiTheme="minorHAnsi" w:hAnsiTheme="minorHAnsi" w:cstheme="minorHAnsi"/>
            <w:b/>
            <w:bCs/>
            <w:color w:val="1D59BF"/>
            <w:spacing w:val="11"/>
            <w:sz w:val="28"/>
            <w:szCs w:val="28"/>
          </w:rPr>
          <w:t>ν.3996/2011</w:t>
        </w:r>
      </w:hyperlink>
      <w:r w:rsidRPr="00B12F33">
        <w:rPr>
          <w:rStyle w:val="a3"/>
          <w:rFonts w:asciiTheme="minorHAnsi" w:hAnsiTheme="minorHAnsi" w:cstheme="minorHAnsi"/>
          <w:color w:val="1D1D1D"/>
          <w:spacing w:val="11"/>
          <w:sz w:val="28"/>
          <w:szCs w:val="28"/>
        </w:rPr>
        <w:t>)</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Fonts w:asciiTheme="minorHAnsi" w:hAnsiTheme="minorHAnsi" w:cstheme="minorHAnsi"/>
          <w:color w:val="1D1D1D"/>
          <w:spacing w:val="11"/>
          <w:sz w:val="28"/>
          <w:szCs w:val="28"/>
        </w:rPr>
        <w:t>εφόσον πληρούν τις ειδικότερες προϋποθέσεις του νόμου.</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Σύνταξης γήρατος γονέων αναπήρων του δημοσίου τομέα (</w:t>
      </w:r>
      <w:hyperlink r:id="rId8" w:history="1">
        <w:r w:rsidRPr="00B12F33">
          <w:rPr>
            <w:rStyle w:val="-"/>
            <w:rFonts w:asciiTheme="minorHAnsi" w:hAnsiTheme="minorHAnsi" w:cstheme="minorHAnsi"/>
            <w:b/>
            <w:bCs/>
            <w:color w:val="1D59BF"/>
            <w:spacing w:val="11"/>
            <w:sz w:val="28"/>
            <w:szCs w:val="28"/>
          </w:rPr>
          <w:t>π.δ.169/2007</w:t>
        </w:r>
      </w:hyperlink>
      <w:r w:rsidRPr="00B12F33">
        <w:rPr>
          <w:rStyle w:val="a3"/>
          <w:rFonts w:asciiTheme="minorHAnsi" w:hAnsiTheme="minorHAnsi" w:cstheme="minorHAnsi"/>
          <w:color w:val="1D1D1D"/>
          <w:spacing w:val="11"/>
          <w:sz w:val="28"/>
          <w:szCs w:val="28"/>
        </w:rPr>
        <w:t> όπως ισχύει)</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Fonts w:asciiTheme="minorHAnsi" w:hAnsiTheme="minorHAnsi" w:cstheme="minorHAnsi"/>
          <w:color w:val="1D1D1D"/>
          <w:spacing w:val="11"/>
          <w:sz w:val="28"/>
          <w:szCs w:val="28"/>
        </w:rPr>
        <w:t xml:space="preserve">Η αναπηρία κρίνεται από τις αρμόδιες υγειονομικές επιτροπές ( ΚΕΠΑ ή ΑΣΥΕ για όσους καλύπτονται από το </w:t>
      </w:r>
      <w:proofErr w:type="spellStart"/>
      <w:r w:rsidRPr="00B12F33">
        <w:rPr>
          <w:rFonts w:asciiTheme="minorHAnsi" w:hAnsiTheme="minorHAnsi" w:cstheme="minorHAnsi"/>
          <w:color w:val="1D1D1D"/>
          <w:spacing w:val="11"/>
          <w:sz w:val="28"/>
          <w:szCs w:val="28"/>
        </w:rPr>
        <w:t>π.δ</w:t>
      </w:r>
      <w:proofErr w:type="spellEnd"/>
      <w:r w:rsidRPr="00B12F33">
        <w:rPr>
          <w:rFonts w:asciiTheme="minorHAnsi" w:hAnsiTheme="minorHAnsi" w:cstheme="minorHAnsi"/>
          <w:color w:val="1D1D1D"/>
          <w:spacing w:val="11"/>
          <w:sz w:val="28"/>
          <w:szCs w:val="28"/>
        </w:rPr>
        <w:t>. 169/2007). Στις περιπτώσεις που αρμόδια επιτροπή είναι το ΚΕΠΑ απαιτείται αίτηση πιστοποίησης αναπηρίας στην Εθνική Πύλη Αναπηρίας. Αίτηση στον ΕΦΚΑ εντός 4 μηνών από την ημερομηνία έκδοσης της απόφασης πιστοποίησης από το ΚΕΠΑ για την αποφυγή απώλειας ποσών συντάξεων.</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Style w:val="a3"/>
          <w:rFonts w:asciiTheme="minorHAnsi" w:hAnsiTheme="minorHAnsi" w:cstheme="minorHAnsi"/>
          <w:color w:val="1D1D1D"/>
          <w:spacing w:val="11"/>
          <w:sz w:val="28"/>
          <w:szCs w:val="28"/>
        </w:rPr>
        <w:t>Απασχόληση συνταξιούχων αναπηρίας (αρ.114 του </w:t>
      </w:r>
      <w:hyperlink r:id="rId9" w:tgtFrame="_blank" w:history="1">
        <w:r w:rsidRPr="00B12F33">
          <w:rPr>
            <w:rStyle w:val="-"/>
            <w:rFonts w:asciiTheme="minorHAnsi" w:hAnsiTheme="minorHAnsi" w:cstheme="minorHAnsi"/>
            <w:b/>
            <w:bCs/>
            <w:color w:val="1D59BF"/>
            <w:spacing w:val="11"/>
            <w:sz w:val="28"/>
            <w:szCs w:val="28"/>
          </w:rPr>
          <w:t>ν.5078/2023</w:t>
        </w:r>
      </w:hyperlink>
      <w:r w:rsidRPr="00B12F33">
        <w:rPr>
          <w:rStyle w:val="a3"/>
          <w:rFonts w:asciiTheme="minorHAnsi" w:hAnsiTheme="minorHAnsi" w:cstheme="minorHAnsi"/>
          <w:color w:val="1D1D1D"/>
          <w:spacing w:val="11"/>
          <w:sz w:val="28"/>
          <w:szCs w:val="28"/>
        </w:rPr>
        <w:t>).</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Fonts w:asciiTheme="minorHAnsi" w:hAnsiTheme="minorHAnsi" w:cstheme="minorHAnsi"/>
          <w:color w:val="1D1D1D"/>
          <w:spacing w:val="11"/>
          <w:sz w:val="28"/>
          <w:szCs w:val="28"/>
          <w:u w:val="single"/>
        </w:rPr>
        <w:t>Μετά την χορήγηση της σύνταξης λόγω αναπηρίας, οι συνταξιούχοι λόγω αναπηρίας</w:t>
      </w:r>
      <w:r w:rsidRPr="00B12F33">
        <w:rPr>
          <w:rFonts w:asciiTheme="minorHAnsi" w:hAnsiTheme="minorHAnsi" w:cstheme="minorHAnsi"/>
          <w:color w:val="1D1D1D"/>
          <w:spacing w:val="11"/>
          <w:sz w:val="28"/>
          <w:szCs w:val="28"/>
        </w:rPr>
        <w:t> (από κοινή νόσο, εργατικό ατύχημα ή επαγγελματική νόσο, ατύχημα εκτός εργασίας) μπορούν να απασχοληθούν χωρίς περικοπή της αναπηρικής σύνταξης.</w:t>
      </w:r>
    </w:p>
    <w:p w:rsidR="00467BA1" w:rsidRPr="00B12F33" w:rsidRDefault="00467BA1" w:rsidP="00467BA1">
      <w:pPr>
        <w:pStyle w:val="Web"/>
        <w:shd w:val="clear" w:color="auto" w:fill="FFFFFF"/>
        <w:spacing w:before="192" w:beforeAutospacing="0" w:after="192" w:afterAutospacing="0"/>
        <w:jc w:val="both"/>
        <w:rPr>
          <w:rFonts w:asciiTheme="minorHAnsi" w:hAnsiTheme="minorHAnsi" w:cstheme="minorHAnsi"/>
          <w:color w:val="1D1D1D"/>
          <w:spacing w:val="11"/>
          <w:sz w:val="28"/>
          <w:szCs w:val="28"/>
        </w:rPr>
      </w:pPr>
      <w:r w:rsidRPr="00B12F33">
        <w:rPr>
          <w:rFonts w:asciiTheme="minorHAnsi" w:hAnsiTheme="minorHAnsi" w:cstheme="minorHAnsi"/>
          <w:color w:val="1D1D1D"/>
          <w:spacing w:val="11"/>
          <w:sz w:val="28"/>
          <w:szCs w:val="28"/>
        </w:rPr>
        <w:t>Επίσης εξαιρούνται από την καταβολή υπέρ e-ΕΦΚΑ του επιπλέον πόρου.</w:t>
      </w:r>
    </w:p>
    <w:p w:rsidR="00467BA1" w:rsidRPr="00467BA1" w:rsidRDefault="00467BA1" w:rsidP="00467BA1">
      <w:pPr>
        <w:jc w:val="both"/>
        <w:rPr>
          <w:rFonts w:cstheme="minorHAnsi"/>
          <w:sz w:val="28"/>
          <w:szCs w:val="28"/>
        </w:rPr>
      </w:pPr>
    </w:p>
    <w:p w:rsidR="00467BA1" w:rsidRPr="00467BA1" w:rsidRDefault="00467BA1" w:rsidP="00467BA1">
      <w:pPr>
        <w:jc w:val="both"/>
        <w:rPr>
          <w:rFonts w:cstheme="minorHAnsi"/>
          <w:sz w:val="28"/>
          <w:szCs w:val="28"/>
        </w:rPr>
      </w:pPr>
    </w:p>
    <w:p w:rsidR="003F03BB" w:rsidRDefault="003F03BB"/>
    <w:sectPr w:rsidR="003F03BB" w:rsidSect="003F03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BA1"/>
    <w:rsid w:val="003F03BB"/>
    <w:rsid w:val="00467B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67B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67BA1"/>
    <w:rPr>
      <w:b/>
      <w:bCs/>
    </w:rPr>
  </w:style>
  <w:style w:type="character" w:styleId="a4">
    <w:name w:val="Emphasis"/>
    <w:basedOn w:val="a0"/>
    <w:uiPriority w:val="20"/>
    <w:qFormat/>
    <w:rsid w:val="00467BA1"/>
    <w:rPr>
      <w:i/>
      <w:iCs/>
    </w:rPr>
  </w:style>
  <w:style w:type="character" w:styleId="-">
    <w:name w:val="Hyperlink"/>
    <w:basedOn w:val="a0"/>
    <w:uiPriority w:val="99"/>
    <w:semiHidden/>
    <w:unhideWhenUsed/>
    <w:rsid w:val="00467B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pergasias.gov.gr/wp-content/uploads/2021/03/%CE%A0.%CE%94.-169-2007_%CE%A6%CE%95%CE%9A-%CE%91-210.pdf" TargetMode="External"/><Relationship Id="rId3" Type="http://schemas.openxmlformats.org/officeDocument/2006/relationships/webSettings" Target="webSettings.xml"/><Relationship Id="rId7" Type="http://schemas.openxmlformats.org/officeDocument/2006/relationships/hyperlink" Target="https://ypergasias.gov.gr/wp-content/uploads/2021/03/%CE%BD.-3996-2011-%CE%A6%CE%95%CE%9A-%CE%91-17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pergasias.gov.gr/wp-content/uploads/2021/03/%CE%A0.%CE%94.-169-2007_%CE%A6%CE%95%CE%9A-%CE%91-210.pdf" TargetMode="External"/><Relationship Id="rId11" Type="http://schemas.openxmlformats.org/officeDocument/2006/relationships/theme" Target="theme/theme1.xml"/><Relationship Id="rId5" Type="http://schemas.openxmlformats.org/officeDocument/2006/relationships/hyperlink" Target="https://ypergasias.gov.gr/wp-content/uploads/2024/07/FEK_1977-06-14_A-164_%CE%9D-612-%CE%A3%CF%8D%CE%BD%CF%84%CE%B1%CE%BE%CE%B7-%CE%B3%CE%AE%CF%81%CE%B1%CF%84%CE%BF%CF%82-%CE%BB%CF%8C%CE%B3%CF%89-%CE%B5%CE%B9%CE%B4%CE%B9%CE%BA%CF%8E%CE%BD-%CF%80%CE%B1%CE%B8%CE%AE%CF%83%CE%B5%CF%89%CE%BD.pdf" TargetMode="External"/><Relationship Id="rId10" Type="http://schemas.openxmlformats.org/officeDocument/2006/relationships/fontTable" Target="fontTable.xml"/><Relationship Id="rId4" Type="http://schemas.openxmlformats.org/officeDocument/2006/relationships/hyperlink" Target="https://ypergasias.gov.gr/wp-content/uploads/2021/03/%CE%A0.%CE%94.-169-2007_%CE%A6%CE%95%CE%9A-%CE%91-210.pdf" TargetMode="External"/><Relationship Id="rId9" Type="http://schemas.openxmlformats.org/officeDocument/2006/relationships/hyperlink" Target="https://ypergasias.gov.gr/wp-content/uploads/2024/07/FEK_2023-12-23_A-211_%CE%9D-5078-%CE%91%CE%BD%CE%B1%CE%BC%CF%8C%CF%81%CF%86%CF%89%CF%83%CE%B7-%CE%95%CF%80%CE%B1%CE%B3%CE%B3%CE%B5%CE%BB%CE%BC%CE%B1%CF%84%CE%B9%CE%BA%CE%AE%CF%82-%CE%91%CF%83%CF%86%CE%AC%CE%BB%CE%B9%CF%83%CE%B7%CF%82-%CE%BA%CE%BB%CF%8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3397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2025-05-04T18:19:00Z</dcterms:created>
  <dcterms:modified xsi:type="dcterms:W3CDTF">2025-05-04T18:20:00Z</dcterms:modified>
</cp:coreProperties>
</file>